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9C17" w14:textId="77777777" w:rsidR="00A25D99" w:rsidRPr="00EC7271" w:rsidRDefault="00EC7271" w:rsidP="00EC7271">
      <w:pPr>
        <w:jc w:val="center"/>
        <w:rPr>
          <w:rFonts w:ascii="標楷體" w:eastAsia="標楷體" w:hAnsi="標楷體"/>
          <w:sz w:val="32"/>
          <w:szCs w:val="32"/>
        </w:rPr>
      </w:pPr>
      <w:r w:rsidRPr="00EC7271">
        <w:rPr>
          <w:rFonts w:ascii="標楷體" w:eastAsia="標楷體" w:hAnsi="標楷體" w:hint="eastAsia"/>
          <w:sz w:val="32"/>
          <w:szCs w:val="32"/>
        </w:rPr>
        <w:t>獨立董事與內部稽核主管及會計師之溝通情形</w:t>
      </w:r>
    </w:p>
    <w:p w14:paraId="55CDDEB8" w14:textId="77777777" w:rsidR="00823EE0" w:rsidRDefault="00823EE0" w:rsidP="00823EE0">
      <w:pPr>
        <w:ind w:left="480" w:hangingChars="200" w:hanging="480"/>
        <w:rPr>
          <w:rFonts w:ascii="標楷體" w:eastAsia="標楷體" w:hAnsi="標楷體"/>
        </w:rPr>
      </w:pPr>
    </w:p>
    <w:p w14:paraId="55E613CE" w14:textId="77777777" w:rsidR="00EC7271" w:rsidRPr="00823EE0" w:rsidRDefault="00823EE0" w:rsidP="00823EE0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C7271" w:rsidRPr="00823EE0">
        <w:rPr>
          <w:rFonts w:ascii="標楷體" w:eastAsia="標楷體" w:hAnsi="標楷體" w:hint="eastAsia"/>
        </w:rPr>
        <w:t>每年一次單獨與內部稽核主管召開會議及每年</w:t>
      </w:r>
      <w:r w:rsidR="00F17E02">
        <w:rPr>
          <w:rFonts w:ascii="標楷體" w:eastAsia="標楷體" w:hAnsi="標楷體" w:hint="eastAsia"/>
        </w:rPr>
        <w:t>一</w:t>
      </w:r>
      <w:r w:rsidR="00EC7271" w:rsidRPr="00823EE0">
        <w:rPr>
          <w:rFonts w:ascii="標楷體" w:eastAsia="標楷體" w:hAnsi="標楷體" w:hint="eastAsia"/>
        </w:rPr>
        <w:t>次與會計師舉行會議，</w:t>
      </w:r>
      <w:r w:rsidR="00F86E8F" w:rsidRPr="00823EE0">
        <w:rPr>
          <w:rFonts w:ascii="標楷體" w:eastAsia="標楷體" w:hAnsi="標楷體" w:hint="eastAsia"/>
        </w:rPr>
        <w:t>討論年度稽核執行情形及次年度稽核計劃等事項</w:t>
      </w:r>
      <w:r w:rsidR="00EC7271" w:rsidRPr="00823EE0">
        <w:rPr>
          <w:rFonts w:ascii="標楷體" w:eastAsia="標楷體" w:hAnsi="標楷體" w:hint="eastAsia"/>
        </w:rPr>
        <w:t>，</w:t>
      </w:r>
      <w:r w:rsidR="00F86E8F" w:rsidRPr="00823EE0">
        <w:rPr>
          <w:rFonts w:ascii="標楷體" w:eastAsia="標楷體" w:hAnsi="標楷體" w:hint="eastAsia"/>
        </w:rPr>
        <w:t>及會計師獨立性、年度查核規劃及</w:t>
      </w:r>
      <w:r w:rsidRPr="00823EE0">
        <w:rPr>
          <w:rFonts w:ascii="標楷體" w:eastAsia="標楷體" w:hAnsi="標楷體" w:hint="eastAsia"/>
        </w:rPr>
        <w:t>查核意見等事項。</w:t>
      </w:r>
    </w:p>
    <w:p w14:paraId="7692B34E" w14:textId="77777777" w:rsidR="00823EE0" w:rsidRPr="00823EE0" w:rsidRDefault="00823EE0" w:rsidP="00823EE0">
      <w:pPr>
        <w:rPr>
          <w:rFonts w:ascii="標楷體" w:eastAsia="標楷體" w:hAnsi="標楷體"/>
        </w:rPr>
      </w:pPr>
      <w:r w:rsidRPr="00823EE0">
        <w:rPr>
          <w:rFonts w:ascii="標楷體" w:eastAsia="標楷體" w:hAnsi="標楷體" w:hint="eastAsia"/>
        </w:rPr>
        <w:t>二、</w:t>
      </w:r>
      <w:r w:rsidRPr="00823EE0">
        <w:rPr>
          <w:rFonts w:ascii="標楷體" w:eastAsia="標楷體" w:hAnsi="標楷體"/>
        </w:rPr>
        <w:t>內部稽核主管定期向審計委員會報告</w:t>
      </w:r>
    </w:p>
    <w:p w14:paraId="74F59FA2" w14:textId="77777777" w:rsidR="00823EE0" w:rsidRDefault="00823EE0" w:rsidP="00823EE0">
      <w:pPr>
        <w:ind w:leftChars="200" w:left="480"/>
        <w:rPr>
          <w:rFonts w:ascii="標楷體" w:eastAsia="標楷體" w:hAnsi="標楷體"/>
        </w:rPr>
      </w:pPr>
      <w:r w:rsidRPr="00823EE0">
        <w:rPr>
          <w:rFonts w:ascii="標楷體" w:eastAsia="標楷體" w:hAnsi="標楷體"/>
        </w:rPr>
        <w:t>1.年度內部稽核計畫</w:t>
      </w:r>
      <w:r>
        <w:rPr>
          <w:rFonts w:ascii="標楷體" w:eastAsia="標楷體" w:hAnsi="標楷體"/>
        </w:rPr>
        <w:t>。</w:t>
      </w:r>
    </w:p>
    <w:p w14:paraId="0DFA0410" w14:textId="77777777" w:rsidR="00823EE0" w:rsidRDefault="00823EE0" w:rsidP="00823EE0">
      <w:pPr>
        <w:ind w:leftChars="200" w:left="480"/>
        <w:rPr>
          <w:rFonts w:ascii="標楷體" w:eastAsia="標楷體" w:hAnsi="標楷體"/>
        </w:rPr>
      </w:pPr>
      <w:r w:rsidRPr="00823EE0">
        <w:rPr>
          <w:rFonts w:ascii="標楷體" w:eastAsia="標楷體" w:hAnsi="標楷體"/>
        </w:rPr>
        <w:t>2.</w:t>
      </w:r>
      <w:r w:rsidRPr="00823EE0">
        <w:rPr>
          <w:rFonts w:ascii="標楷體" w:eastAsia="標楷體" w:hAnsi="標楷體" w:hint="eastAsia"/>
        </w:rPr>
        <w:t>內部控制制度聲明書</w:t>
      </w:r>
      <w:r>
        <w:rPr>
          <w:rFonts w:ascii="標楷體" w:eastAsia="標楷體" w:hAnsi="標楷體" w:hint="eastAsia"/>
        </w:rPr>
        <w:t>。</w:t>
      </w:r>
    </w:p>
    <w:p w14:paraId="4B7A972E" w14:textId="77777777" w:rsidR="00823EE0" w:rsidRPr="00823EE0" w:rsidRDefault="00823EE0" w:rsidP="00823EE0">
      <w:pPr>
        <w:ind w:leftChars="200" w:left="480"/>
        <w:rPr>
          <w:rFonts w:ascii="標楷體" w:eastAsia="標楷體" w:hAnsi="標楷體"/>
        </w:rPr>
      </w:pPr>
      <w:r w:rsidRPr="00823EE0">
        <w:rPr>
          <w:rFonts w:ascii="標楷體" w:eastAsia="標楷體" w:hAnsi="標楷體"/>
        </w:rPr>
        <w:t>3.</w:t>
      </w:r>
      <w:r w:rsidRPr="00823EE0">
        <w:rPr>
          <w:rFonts w:ascii="標楷體" w:eastAsia="標楷體" w:hAnsi="標楷體" w:hint="eastAsia"/>
        </w:rPr>
        <w:t>定期報告</w:t>
      </w:r>
      <w:r w:rsidRPr="00823EE0">
        <w:rPr>
          <w:rFonts w:ascii="標楷體" w:eastAsia="標楷體" w:hAnsi="標楷體"/>
        </w:rPr>
        <w:t>內部稽查業務執行情形。</w:t>
      </w:r>
    </w:p>
    <w:p w14:paraId="3906907C" w14:textId="77777777" w:rsidR="00823EE0" w:rsidRPr="00823EE0" w:rsidRDefault="00823E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823EE0">
        <w:rPr>
          <w:rFonts w:ascii="標楷體" w:eastAsia="標楷體" w:hAnsi="標楷體"/>
        </w:rPr>
        <w:t>會計師每年至少參加</w:t>
      </w:r>
      <w:r w:rsidR="00F17E02">
        <w:rPr>
          <w:rFonts w:ascii="標楷體" w:eastAsia="標楷體" w:hAnsi="標楷體" w:hint="eastAsia"/>
        </w:rPr>
        <w:t>一</w:t>
      </w:r>
      <w:r w:rsidRPr="00823EE0">
        <w:rPr>
          <w:rFonts w:ascii="標楷體" w:eastAsia="標楷體" w:hAnsi="標楷體" w:hint="eastAsia"/>
        </w:rPr>
        <w:t>次</w:t>
      </w:r>
      <w:r w:rsidRPr="00823EE0">
        <w:rPr>
          <w:rFonts w:ascii="標楷體" w:eastAsia="標楷體" w:hAnsi="標楷體"/>
        </w:rPr>
        <w:t>審計委員會，報告年度查核</w:t>
      </w:r>
      <w:r w:rsidRPr="00823EE0">
        <w:rPr>
          <w:rFonts w:ascii="標楷體" w:eastAsia="標楷體" w:hAnsi="標楷體" w:hint="eastAsia"/>
        </w:rPr>
        <w:t>計劃及查核</w:t>
      </w:r>
      <w:r w:rsidRPr="00823EE0">
        <w:rPr>
          <w:rFonts w:ascii="標楷體" w:eastAsia="標楷體" w:hAnsi="標楷體"/>
        </w:rPr>
        <w:t>結果。</w:t>
      </w:r>
    </w:p>
    <w:p w14:paraId="4BE1B78B" w14:textId="77777777" w:rsidR="00EC7271" w:rsidRPr="00823EE0" w:rsidRDefault="00823EE0" w:rsidP="00823EE0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</w:t>
      </w:r>
      <w:r w:rsidRPr="00823EE0">
        <w:rPr>
          <w:rFonts w:ascii="標楷體" w:eastAsia="標楷體" w:hAnsi="標楷體"/>
        </w:rPr>
        <w:t>其他：發生重大異常事項，或獨立董事、稽核主管及會計師認為有必要獨立溝通之事宜，可以不定期隨時召開會議溝通。</w:t>
      </w:r>
    </w:p>
    <w:p w14:paraId="2D4B28D0" w14:textId="77777777" w:rsidR="00EC7271" w:rsidRPr="00823EE0" w:rsidRDefault="00EC7271">
      <w:pPr>
        <w:rPr>
          <w:rFonts w:ascii="標楷體" w:eastAsia="標楷體" w:hAnsi="標楷體"/>
        </w:rPr>
      </w:pPr>
    </w:p>
    <w:p w14:paraId="37697AD2" w14:textId="14DA593A" w:rsidR="00EC7271" w:rsidRDefault="00422C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70672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年度</w:t>
      </w:r>
      <w:r w:rsidRPr="00422C78">
        <w:rPr>
          <w:rFonts w:ascii="標楷體" w:eastAsia="標楷體" w:hAnsi="標楷體" w:hint="eastAsia"/>
        </w:rPr>
        <w:t>獨立董事與內部稽核主管及會計師之溝通情形</w:t>
      </w:r>
    </w:p>
    <w:tbl>
      <w:tblPr>
        <w:tblStyle w:val="a4"/>
        <w:tblW w:w="9039" w:type="dxa"/>
        <w:jc w:val="center"/>
        <w:tblLook w:val="04A0" w:firstRow="1" w:lastRow="0" w:firstColumn="1" w:lastColumn="0" w:noHBand="0" w:noVBand="1"/>
      </w:tblPr>
      <w:tblGrid>
        <w:gridCol w:w="1296"/>
        <w:gridCol w:w="1960"/>
        <w:gridCol w:w="4252"/>
        <w:gridCol w:w="1531"/>
      </w:tblGrid>
      <w:tr w:rsidR="00422C78" w14:paraId="4DDCB090" w14:textId="77777777" w:rsidTr="00F359F1">
        <w:trPr>
          <w:jc w:val="center"/>
        </w:trPr>
        <w:tc>
          <w:tcPr>
            <w:tcW w:w="1296" w:type="dxa"/>
          </w:tcPr>
          <w:p w14:paraId="64999A29" w14:textId="77777777" w:rsidR="00422C78" w:rsidRDefault="00422C78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60" w:type="dxa"/>
          </w:tcPr>
          <w:p w14:paraId="73BC08DC" w14:textId="77777777" w:rsidR="00422C78" w:rsidRDefault="00422C78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出席人員</w:t>
            </w:r>
          </w:p>
        </w:tc>
        <w:tc>
          <w:tcPr>
            <w:tcW w:w="4252" w:type="dxa"/>
          </w:tcPr>
          <w:p w14:paraId="0FACC454" w14:textId="77777777" w:rsidR="00422C78" w:rsidRDefault="00422C78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溝通事項</w:t>
            </w:r>
          </w:p>
        </w:tc>
        <w:tc>
          <w:tcPr>
            <w:tcW w:w="1531" w:type="dxa"/>
          </w:tcPr>
          <w:p w14:paraId="71F48D46" w14:textId="77777777" w:rsidR="00422C78" w:rsidRDefault="00422C78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溝通結果</w:t>
            </w:r>
          </w:p>
        </w:tc>
      </w:tr>
      <w:tr w:rsidR="00422C78" w14:paraId="6A8F7917" w14:textId="77777777" w:rsidTr="00F359F1">
        <w:trPr>
          <w:jc w:val="center"/>
        </w:trPr>
        <w:tc>
          <w:tcPr>
            <w:tcW w:w="1296" w:type="dxa"/>
            <w:vAlign w:val="center"/>
          </w:tcPr>
          <w:p w14:paraId="266E6127" w14:textId="1F8E5D2C" w:rsidR="00422C78" w:rsidRDefault="00F17E02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212BCE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/3/</w:t>
            </w:r>
            <w:r w:rsidR="00212BC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60" w:type="dxa"/>
            <w:vAlign w:val="center"/>
          </w:tcPr>
          <w:p w14:paraId="7391CAAA" w14:textId="77777777" w:rsidR="008A3FD5" w:rsidRDefault="008A3FD5" w:rsidP="000614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獨立董事鄒炎崇</w:t>
            </w:r>
          </w:p>
          <w:p w14:paraId="3B18D01F" w14:textId="77777777" w:rsidR="008A3FD5" w:rsidRDefault="008A3FD5" w:rsidP="000614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獨立董事李世仁</w:t>
            </w:r>
          </w:p>
          <w:p w14:paraId="41F5128C" w14:textId="77777777" w:rsidR="008A3FD5" w:rsidRDefault="008A3FD5" w:rsidP="000614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獨立董事林彥廷</w:t>
            </w:r>
          </w:p>
          <w:p w14:paraId="55E74082" w14:textId="066529E1" w:rsidR="00F17E02" w:rsidRPr="00D823DC" w:rsidRDefault="008A3FD5" w:rsidP="000614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會計師</w:t>
            </w:r>
            <w:r w:rsidR="007D7CE1">
              <w:rPr>
                <w:rFonts w:ascii="標楷體" w:eastAsia="標楷體" w:hAnsi="標楷體" w:hint="eastAsia"/>
              </w:rPr>
              <w:t xml:space="preserve"> </w:t>
            </w:r>
            <w:r w:rsidR="00212BCE">
              <w:rPr>
                <w:rFonts w:ascii="標楷體" w:eastAsia="標楷體" w:hAnsi="標楷體" w:hint="eastAsia"/>
              </w:rPr>
              <w:t>陳明</w:t>
            </w:r>
            <w:r w:rsidR="00395861">
              <w:rPr>
                <w:rFonts w:ascii="標楷體" w:eastAsia="標楷體" w:hAnsi="標楷體" w:hint="eastAsia"/>
              </w:rPr>
              <w:t>宏</w:t>
            </w:r>
          </w:p>
        </w:tc>
        <w:tc>
          <w:tcPr>
            <w:tcW w:w="4252" w:type="dxa"/>
            <w:vAlign w:val="center"/>
          </w:tcPr>
          <w:p w14:paraId="23A2ABC5" w14:textId="2CED43FA" w:rsidR="00422C78" w:rsidRPr="00212BCE" w:rsidRDefault="00F17E02" w:rsidP="00F31820">
            <w:pPr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>11</w:t>
            </w:r>
            <w:r w:rsidR="00212BCE">
              <w:rPr>
                <w:rFonts w:ascii="標楷體" w:eastAsia="標楷體" w:hAnsi="標楷體" w:hint="eastAsia"/>
              </w:rPr>
              <w:t>3</w:t>
            </w:r>
            <w:r w:rsidR="008A3FD5" w:rsidRPr="00212BCE">
              <w:rPr>
                <w:rFonts w:ascii="標楷體" w:eastAsia="標楷體" w:hAnsi="標楷體" w:hint="eastAsia"/>
              </w:rPr>
              <w:t>年度財務報表查核事項</w:t>
            </w:r>
          </w:p>
        </w:tc>
        <w:tc>
          <w:tcPr>
            <w:tcW w:w="1531" w:type="dxa"/>
            <w:vAlign w:val="center"/>
          </w:tcPr>
          <w:p w14:paraId="32A477AA" w14:textId="77777777" w:rsidR="00422C78" w:rsidRDefault="008A3FD5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無異議通過</w:t>
            </w:r>
          </w:p>
        </w:tc>
      </w:tr>
      <w:tr w:rsidR="00422C78" w14:paraId="73C81132" w14:textId="77777777" w:rsidTr="00F359F1">
        <w:trPr>
          <w:trHeight w:val="1912"/>
          <w:jc w:val="center"/>
        </w:trPr>
        <w:tc>
          <w:tcPr>
            <w:tcW w:w="1296" w:type="dxa"/>
            <w:vAlign w:val="center"/>
          </w:tcPr>
          <w:p w14:paraId="1D255A5F" w14:textId="3E341545" w:rsidR="00422C78" w:rsidRDefault="00422C78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F3182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/11/</w:t>
            </w:r>
            <w:r w:rsidR="00846430">
              <w:rPr>
                <w:rFonts w:ascii="標楷體" w:eastAsia="標楷體" w:hAnsi="標楷體" w:hint="eastAsia"/>
              </w:rPr>
              <w:t>1</w:t>
            </w:r>
            <w:r w:rsidR="00F318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0" w:type="dxa"/>
            <w:vAlign w:val="center"/>
          </w:tcPr>
          <w:p w14:paraId="3D08C162" w14:textId="6CACBDC3" w:rsidR="00422C78" w:rsidRDefault="00F31820" w:rsidP="00061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獨立董事盧玉華</w:t>
            </w:r>
          </w:p>
          <w:p w14:paraId="13EFA266" w14:textId="5ABB8A53" w:rsidR="00422C78" w:rsidRDefault="00F31820" w:rsidP="00061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獨立董事何建興</w:t>
            </w:r>
          </w:p>
          <w:p w14:paraId="6B35D5B4" w14:textId="09669A9D" w:rsidR="00422C78" w:rsidRDefault="00F31820" w:rsidP="00061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獨立董事鍾凱勳</w:t>
            </w:r>
          </w:p>
          <w:p w14:paraId="0B545281" w14:textId="48705166" w:rsidR="00422C78" w:rsidRPr="00F359F1" w:rsidRDefault="00E94CC6" w:rsidP="00061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會計師</w:t>
            </w:r>
            <w:r w:rsidR="007D7CE1">
              <w:rPr>
                <w:rFonts w:ascii="標楷體" w:eastAsia="標楷體" w:hAnsi="標楷體" w:hint="eastAsia"/>
              </w:rPr>
              <w:t xml:space="preserve"> </w:t>
            </w:r>
            <w:r w:rsidR="007162D2">
              <w:rPr>
                <w:rFonts w:ascii="標楷體" w:eastAsia="標楷體" w:hAnsi="標楷體" w:hint="eastAsia"/>
              </w:rPr>
              <w:t>柯雅婷</w:t>
            </w:r>
            <w:r w:rsidR="00F31820">
              <w:rPr>
                <w:rFonts w:ascii="標楷體" w:eastAsia="標楷體" w:hAnsi="標楷體"/>
              </w:rPr>
              <w:br/>
            </w:r>
            <w:r w:rsidR="00F31820">
              <w:rPr>
                <w:rFonts w:ascii="標楷體" w:eastAsia="標楷體" w:hAnsi="標楷體" w:hint="eastAsia"/>
              </w:rPr>
              <w:t>會計師 林延涵</w:t>
            </w:r>
          </w:p>
        </w:tc>
        <w:tc>
          <w:tcPr>
            <w:tcW w:w="4252" w:type="dxa"/>
            <w:vAlign w:val="center"/>
          </w:tcPr>
          <w:p w14:paraId="4AF6548F" w14:textId="24BA9438" w:rsidR="00422C78" w:rsidRPr="00212BCE" w:rsidRDefault="00E94CC6" w:rsidP="00F31820">
            <w:pPr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>11</w:t>
            </w:r>
            <w:r w:rsidR="00F31820">
              <w:rPr>
                <w:rFonts w:ascii="標楷體" w:eastAsia="標楷體" w:hAnsi="標楷體" w:hint="eastAsia"/>
              </w:rPr>
              <w:t>4</w:t>
            </w:r>
            <w:r w:rsidRPr="00212BCE">
              <w:rPr>
                <w:rFonts w:ascii="標楷體" w:eastAsia="標楷體" w:hAnsi="標楷體" w:hint="eastAsia"/>
              </w:rPr>
              <w:t>年第三季財務報表核閱事項</w:t>
            </w:r>
            <w:r w:rsidR="00F31820">
              <w:rPr>
                <w:rFonts w:ascii="標楷體" w:eastAsia="標楷體" w:hAnsi="標楷體" w:hint="eastAsia"/>
              </w:rPr>
              <w:t>及年度財務報表查核規劃</w:t>
            </w:r>
          </w:p>
        </w:tc>
        <w:tc>
          <w:tcPr>
            <w:tcW w:w="1531" w:type="dxa"/>
            <w:vAlign w:val="center"/>
          </w:tcPr>
          <w:p w14:paraId="6716E124" w14:textId="77777777" w:rsidR="00422C78" w:rsidRDefault="00422C78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無異議通過</w:t>
            </w:r>
          </w:p>
        </w:tc>
      </w:tr>
      <w:tr w:rsidR="00F359F1" w14:paraId="5523606B" w14:textId="77777777" w:rsidTr="00F359F1">
        <w:trPr>
          <w:trHeight w:val="1912"/>
          <w:jc w:val="center"/>
        </w:trPr>
        <w:tc>
          <w:tcPr>
            <w:tcW w:w="1296" w:type="dxa"/>
            <w:vAlign w:val="center"/>
          </w:tcPr>
          <w:p w14:paraId="4F39E8D2" w14:textId="39340C2D" w:rsidR="00F359F1" w:rsidRDefault="00F359F1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F3182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/11/1</w:t>
            </w:r>
            <w:r w:rsidR="00F318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0" w:type="dxa"/>
            <w:vAlign w:val="center"/>
          </w:tcPr>
          <w:p w14:paraId="20346245" w14:textId="77777777" w:rsidR="00F31820" w:rsidRDefault="00F31820" w:rsidP="00F318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獨立董事盧玉華</w:t>
            </w:r>
          </w:p>
          <w:p w14:paraId="14AAC0A5" w14:textId="77777777" w:rsidR="00F31820" w:rsidRDefault="00F31820" w:rsidP="00F318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獨立董事何建興</w:t>
            </w:r>
          </w:p>
          <w:p w14:paraId="75AD29AB" w14:textId="77777777" w:rsidR="00F31820" w:rsidRDefault="00F31820" w:rsidP="00F318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獨立董事鍾凱勳</w:t>
            </w:r>
          </w:p>
          <w:p w14:paraId="7BA5921C" w14:textId="35F8C32D" w:rsidR="00F359F1" w:rsidRDefault="00F359F1" w:rsidP="00F359F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稽核主管謝春福</w:t>
            </w:r>
          </w:p>
        </w:tc>
        <w:tc>
          <w:tcPr>
            <w:tcW w:w="4252" w:type="dxa"/>
            <w:vAlign w:val="center"/>
          </w:tcPr>
          <w:p w14:paraId="30882E38" w14:textId="1C575A71" w:rsidR="00F359F1" w:rsidRPr="00212BCE" w:rsidRDefault="00F359F1" w:rsidP="00F359F1">
            <w:pPr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>1.11</w:t>
            </w:r>
            <w:r w:rsidR="00980B54">
              <w:rPr>
                <w:rFonts w:ascii="標楷體" w:eastAsia="標楷體" w:hAnsi="標楷體" w:hint="eastAsia"/>
              </w:rPr>
              <w:t>4</w:t>
            </w:r>
            <w:r w:rsidRPr="00212BCE">
              <w:rPr>
                <w:rFonts w:ascii="標楷體" w:eastAsia="標楷體" w:hAnsi="標楷體" w:hint="eastAsia"/>
              </w:rPr>
              <w:t>年度稽核計劃執行進度說明</w:t>
            </w:r>
          </w:p>
          <w:p w14:paraId="267EF748" w14:textId="05D14ED6" w:rsidR="00986D37" w:rsidRPr="00212BCE" w:rsidRDefault="00986D37" w:rsidP="00986D37">
            <w:pPr>
              <w:jc w:val="both"/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>2.安永會計師事務所</w:t>
            </w:r>
            <w:r w:rsidR="00980B54">
              <w:rPr>
                <w:rFonts w:ascii="標楷體" w:eastAsia="標楷體" w:hAnsi="標楷體" w:hint="eastAsia"/>
              </w:rPr>
              <w:t>2024</w:t>
            </w:r>
            <w:r w:rsidRPr="00212BCE">
              <w:rPr>
                <w:rFonts w:ascii="標楷體" w:eastAsia="標楷體" w:hAnsi="標楷體" w:hint="eastAsia"/>
              </w:rPr>
              <w:t>年度內部控</w:t>
            </w:r>
          </w:p>
          <w:p w14:paraId="56E8502B" w14:textId="31ECA67E" w:rsidR="00986D37" w:rsidRPr="00212BCE" w:rsidRDefault="00986D37" w:rsidP="00986D37">
            <w:pPr>
              <w:jc w:val="both"/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 xml:space="preserve">  制審查結果說明。</w:t>
            </w:r>
          </w:p>
          <w:p w14:paraId="7361E3D8" w14:textId="69214969" w:rsidR="00F359F1" w:rsidRPr="00212BCE" w:rsidRDefault="00986D37" w:rsidP="00F359F1">
            <w:pPr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>3</w:t>
            </w:r>
            <w:r w:rsidR="00F359F1" w:rsidRPr="00212BCE">
              <w:rPr>
                <w:rFonts w:ascii="標楷體" w:eastAsia="標楷體" w:hAnsi="標楷體" w:hint="eastAsia"/>
              </w:rPr>
              <w:t>.11</w:t>
            </w:r>
            <w:r w:rsidR="00980B54">
              <w:rPr>
                <w:rFonts w:ascii="標楷體" w:eastAsia="標楷體" w:hAnsi="標楷體" w:hint="eastAsia"/>
              </w:rPr>
              <w:t>5</w:t>
            </w:r>
            <w:r w:rsidR="00F359F1" w:rsidRPr="00212BCE">
              <w:rPr>
                <w:rFonts w:ascii="標楷體" w:eastAsia="標楷體" w:hAnsi="標楷體" w:hint="eastAsia"/>
              </w:rPr>
              <w:t>年度稽核計劃擬定說明</w:t>
            </w:r>
          </w:p>
          <w:p w14:paraId="19E32380" w14:textId="4B68DCCD" w:rsidR="00F359F1" w:rsidRPr="00212BCE" w:rsidRDefault="00986D37" w:rsidP="00F359F1">
            <w:pPr>
              <w:rPr>
                <w:rFonts w:ascii="標楷體" w:eastAsia="標楷體" w:hAnsi="標楷體"/>
              </w:rPr>
            </w:pPr>
            <w:r w:rsidRPr="00212BCE">
              <w:rPr>
                <w:rFonts w:ascii="標楷體" w:eastAsia="標楷體" w:hAnsi="標楷體" w:hint="eastAsia"/>
              </w:rPr>
              <w:t>4</w:t>
            </w:r>
            <w:r w:rsidR="00F359F1" w:rsidRPr="00212BCE">
              <w:rPr>
                <w:rFonts w:ascii="標楷體" w:eastAsia="標楷體" w:hAnsi="標楷體" w:hint="eastAsia"/>
              </w:rPr>
              <w:t>.11</w:t>
            </w:r>
            <w:r w:rsidR="00980B54">
              <w:rPr>
                <w:rFonts w:ascii="標楷體" w:eastAsia="標楷體" w:hAnsi="標楷體" w:hint="eastAsia"/>
              </w:rPr>
              <w:t>4</w:t>
            </w:r>
            <w:bookmarkStart w:id="0" w:name="_GoBack"/>
            <w:bookmarkEnd w:id="0"/>
            <w:r w:rsidR="00F359F1" w:rsidRPr="00212BCE">
              <w:rPr>
                <w:rFonts w:ascii="標楷體" w:eastAsia="標楷體" w:hAnsi="標楷體" w:hint="eastAsia"/>
              </w:rPr>
              <w:t>年度內控自評事項執行方式說明</w:t>
            </w:r>
          </w:p>
        </w:tc>
        <w:tc>
          <w:tcPr>
            <w:tcW w:w="1531" w:type="dxa"/>
            <w:vAlign w:val="center"/>
          </w:tcPr>
          <w:p w14:paraId="39D5AB8F" w14:textId="4DF75514" w:rsidR="00F359F1" w:rsidRDefault="00F359F1" w:rsidP="00061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無異議通過</w:t>
            </w:r>
          </w:p>
        </w:tc>
      </w:tr>
    </w:tbl>
    <w:p w14:paraId="4448507C" w14:textId="77777777" w:rsidR="00422C78" w:rsidRDefault="00422C78" w:rsidP="00061486">
      <w:pPr>
        <w:rPr>
          <w:rFonts w:ascii="標楷體" w:eastAsia="標楷體" w:hAnsi="標楷體"/>
        </w:rPr>
      </w:pPr>
    </w:p>
    <w:sectPr w:rsidR="00422C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571FE" w14:textId="77777777" w:rsidR="00D823DC" w:rsidRDefault="00D823DC" w:rsidP="00D823DC">
      <w:r>
        <w:separator/>
      </w:r>
    </w:p>
  </w:endnote>
  <w:endnote w:type="continuationSeparator" w:id="0">
    <w:p w14:paraId="06DB648E" w14:textId="77777777" w:rsidR="00D823DC" w:rsidRDefault="00D823DC" w:rsidP="00D8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A2EC4" w14:textId="77777777" w:rsidR="00D823DC" w:rsidRDefault="00D823DC" w:rsidP="00D823DC">
      <w:r>
        <w:separator/>
      </w:r>
    </w:p>
  </w:footnote>
  <w:footnote w:type="continuationSeparator" w:id="0">
    <w:p w14:paraId="48D2908C" w14:textId="77777777" w:rsidR="00D823DC" w:rsidRDefault="00D823DC" w:rsidP="00D8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CA8"/>
    <w:multiLevelType w:val="hybridMultilevel"/>
    <w:tmpl w:val="95D6D37E"/>
    <w:lvl w:ilvl="0" w:tplc="443C266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EC"/>
    <w:rsid w:val="00061486"/>
    <w:rsid w:val="001F0CF7"/>
    <w:rsid w:val="00212BCE"/>
    <w:rsid w:val="00333DB3"/>
    <w:rsid w:val="00395861"/>
    <w:rsid w:val="00422C78"/>
    <w:rsid w:val="00533DC7"/>
    <w:rsid w:val="00706728"/>
    <w:rsid w:val="007162D2"/>
    <w:rsid w:val="007D7CE1"/>
    <w:rsid w:val="00823EE0"/>
    <w:rsid w:val="00846430"/>
    <w:rsid w:val="008A3FD5"/>
    <w:rsid w:val="00980B54"/>
    <w:rsid w:val="00986D37"/>
    <w:rsid w:val="00A25D99"/>
    <w:rsid w:val="00BF12E0"/>
    <w:rsid w:val="00CA4F91"/>
    <w:rsid w:val="00D823DC"/>
    <w:rsid w:val="00DC47BD"/>
    <w:rsid w:val="00E27851"/>
    <w:rsid w:val="00E94CC6"/>
    <w:rsid w:val="00EC7271"/>
    <w:rsid w:val="00F17E02"/>
    <w:rsid w:val="00F31820"/>
    <w:rsid w:val="00F33CEC"/>
    <w:rsid w:val="00F359F1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459B66"/>
  <w15:docId w15:val="{94C2198D-CBAE-494E-B422-F3361E17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E0"/>
    <w:pPr>
      <w:ind w:leftChars="200" w:left="480"/>
    </w:pPr>
  </w:style>
  <w:style w:type="table" w:styleId="a4">
    <w:name w:val="Table Grid"/>
    <w:basedOn w:val="a1"/>
    <w:uiPriority w:val="59"/>
    <w:rsid w:val="0042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23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23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詹志偉</dc:creator>
  <cp:lastModifiedBy>王婷渝</cp:lastModifiedBy>
  <cp:revision>5</cp:revision>
  <dcterms:created xsi:type="dcterms:W3CDTF">2025-11-17T06:27:00Z</dcterms:created>
  <dcterms:modified xsi:type="dcterms:W3CDTF">2025-11-17T06:32:00Z</dcterms:modified>
</cp:coreProperties>
</file>